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630"/>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415"/>
        <w:gridCol w:w="1272"/>
        <w:gridCol w:w="2803"/>
        <w:gridCol w:w="6480"/>
      </w:tblGrid>
      <w:tr w:rsidR="00C639DF" w:rsidRPr="004F18F8" w:rsidTr="009F3AFB">
        <w:tc>
          <w:tcPr>
            <w:tcW w:w="1998" w:type="dxa"/>
            <w:tcBorders>
              <w:top w:val="single" w:sz="12" w:space="0" w:color="auto"/>
              <w:bottom w:val="single" w:sz="12" w:space="0" w:color="auto"/>
            </w:tcBorders>
          </w:tcPr>
          <w:p w:rsidR="004F18F8" w:rsidRPr="000B1892" w:rsidRDefault="00AA127A" w:rsidP="00C639DF">
            <w:pPr>
              <w:jc w:val="center"/>
              <w:rPr>
                <w:rFonts w:ascii="Arial Narrow" w:hAnsi="Arial Narrow"/>
                <w:b/>
                <w:sz w:val="18"/>
                <w:szCs w:val="18"/>
              </w:rPr>
            </w:pPr>
            <w:r>
              <w:rPr>
                <w:rFonts w:ascii="Arial Narrow" w:hAnsi="Arial Narrow"/>
                <w:b/>
                <w:sz w:val="18"/>
                <w:szCs w:val="18"/>
              </w:rPr>
              <w:t>2018</w:t>
            </w:r>
            <w:r w:rsidR="004F18F8" w:rsidRPr="000B1892">
              <w:rPr>
                <w:rFonts w:ascii="Arial Narrow" w:hAnsi="Arial Narrow"/>
                <w:b/>
                <w:sz w:val="18"/>
                <w:szCs w:val="18"/>
              </w:rPr>
              <w:t xml:space="preserve"> Mentor Applicant</w:t>
            </w:r>
            <w:r w:rsidR="008625B8" w:rsidRPr="000B1892">
              <w:rPr>
                <w:rFonts w:ascii="Arial Narrow" w:hAnsi="Arial Narrow"/>
                <w:b/>
                <w:sz w:val="18"/>
                <w:szCs w:val="18"/>
              </w:rPr>
              <w:t xml:space="preserve"> (affiliation)</w:t>
            </w:r>
          </w:p>
        </w:tc>
        <w:tc>
          <w:tcPr>
            <w:tcW w:w="0" w:type="auto"/>
            <w:tcBorders>
              <w:top w:val="single" w:sz="12" w:space="0" w:color="auto"/>
              <w:bottom w:val="single" w:sz="12" w:space="0" w:color="auto"/>
            </w:tcBorders>
          </w:tcPr>
          <w:p w:rsidR="004F18F8" w:rsidRPr="000B1892" w:rsidRDefault="004F18F8" w:rsidP="00C639DF">
            <w:pPr>
              <w:jc w:val="center"/>
              <w:rPr>
                <w:rFonts w:ascii="Arial Narrow" w:hAnsi="Arial Narrow"/>
                <w:b/>
                <w:sz w:val="18"/>
                <w:szCs w:val="18"/>
              </w:rPr>
            </w:pPr>
            <w:r w:rsidRPr="000B1892">
              <w:rPr>
                <w:rFonts w:ascii="Arial Narrow" w:hAnsi="Arial Narrow"/>
                <w:b/>
                <w:sz w:val="18"/>
                <w:szCs w:val="18"/>
              </w:rPr>
              <w:t>Title</w:t>
            </w:r>
          </w:p>
        </w:tc>
        <w:tc>
          <w:tcPr>
            <w:tcW w:w="0" w:type="auto"/>
            <w:tcBorders>
              <w:top w:val="single" w:sz="12" w:space="0" w:color="auto"/>
              <w:bottom w:val="single" w:sz="12" w:space="0" w:color="auto"/>
            </w:tcBorders>
          </w:tcPr>
          <w:p w:rsidR="004F18F8" w:rsidRPr="000B1892" w:rsidRDefault="004F18F8" w:rsidP="00C639DF">
            <w:pPr>
              <w:jc w:val="center"/>
              <w:rPr>
                <w:rFonts w:ascii="Arial Narrow" w:hAnsi="Arial Narrow"/>
                <w:b/>
                <w:sz w:val="18"/>
                <w:szCs w:val="18"/>
              </w:rPr>
            </w:pPr>
            <w:r w:rsidRPr="000B1892">
              <w:rPr>
                <w:rFonts w:ascii="Arial Narrow" w:hAnsi="Arial Narrow"/>
                <w:b/>
                <w:sz w:val="18"/>
                <w:szCs w:val="18"/>
              </w:rPr>
              <w:t>Location</w:t>
            </w:r>
          </w:p>
          <w:p w:rsidR="004F18F8" w:rsidRPr="000B1892" w:rsidRDefault="004F18F8" w:rsidP="00C639DF">
            <w:pPr>
              <w:jc w:val="center"/>
              <w:rPr>
                <w:rFonts w:ascii="Arial Narrow" w:hAnsi="Arial Narrow"/>
                <w:b/>
                <w:sz w:val="18"/>
                <w:szCs w:val="18"/>
              </w:rPr>
            </w:pPr>
            <w:r w:rsidRPr="000B1892">
              <w:rPr>
                <w:rFonts w:ascii="Arial Narrow" w:hAnsi="Arial Narrow"/>
                <w:b/>
                <w:sz w:val="18"/>
                <w:szCs w:val="18"/>
              </w:rPr>
              <w:t>Opportunity</w:t>
            </w:r>
          </w:p>
        </w:tc>
        <w:tc>
          <w:tcPr>
            <w:tcW w:w="2803" w:type="dxa"/>
            <w:tcBorders>
              <w:top w:val="single" w:sz="12" w:space="0" w:color="auto"/>
              <w:bottom w:val="single" w:sz="12" w:space="0" w:color="auto"/>
            </w:tcBorders>
          </w:tcPr>
          <w:p w:rsidR="004F18F8" w:rsidRPr="000B1892" w:rsidRDefault="004F18F8" w:rsidP="00C639DF">
            <w:pPr>
              <w:jc w:val="center"/>
              <w:rPr>
                <w:rFonts w:ascii="Arial Narrow" w:hAnsi="Arial Narrow"/>
                <w:b/>
                <w:sz w:val="18"/>
                <w:szCs w:val="18"/>
              </w:rPr>
            </w:pPr>
            <w:r w:rsidRPr="000B1892">
              <w:rPr>
                <w:rFonts w:ascii="Arial Narrow" w:hAnsi="Arial Narrow"/>
                <w:b/>
                <w:sz w:val="18"/>
                <w:szCs w:val="18"/>
              </w:rPr>
              <w:t>Mentor</w:t>
            </w:r>
          </w:p>
          <w:p w:rsidR="004F18F8" w:rsidRPr="000B1892" w:rsidRDefault="004F18F8" w:rsidP="00C639DF">
            <w:pPr>
              <w:jc w:val="center"/>
              <w:rPr>
                <w:rFonts w:ascii="Arial Narrow" w:hAnsi="Arial Narrow"/>
                <w:b/>
                <w:sz w:val="18"/>
                <w:szCs w:val="18"/>
              </w:rPr>
            </w:pPr>
            <w:r w:rsidRPr="000B1892">
              <w:rPr>
                <w:rFonts w:ascii="Arial Narrow" w:hAnsi="Arial Narrow"/>
                <w:b/>
                <w:sz w:val="18"/>
                <w:szCs w:val="18"/>
              </w:rPr>
              <w:t>Availability</w:t>
            </w:r>
          </w:p>
        </w:tc>
        <w:tc>
          <w:tcPr>
            <w:tcW w:w="6480" w:type="dxa"/>
            <w:tcBorders>
              <w:top w:val="single" w:sz="12" w:space="0" w:color="auto"/>
              <w:bottom w:val="single" w:sz="12" w:space="0" w:color="auto"/>
            </w:tcBorders>
          </w:tcPr>
          <w:p w:rsidR="004F18F8" w:rsidRPr="000B1892" w:rsidRDefault="004F18F8" w:rsidP="00C639DF">
            <w:pPr>
              <w:rPr>
                <w:rFonts w:ascii="Arial Narrow" w:hAnsi="Arial Narrow"/>
                <w:b/>
                <w:sz w:val="32"/>
                <w:szCs w:val="32"/>
              </w:rPr>
            </w:pPr>
            <w:r w:rsidRPr="000B1892">
              <w:rPr>
                <w:rFonts w:ascii="Arial Narrow" w:hAnsi="Arial Narrow"/>
                <w:b/>
                <w:sz w:val="32"/>
                <w:szCs w:val="32"/>
              </w:rPr>
              <w:t>Opportunity for Mentee</w:t>
            </w:r>
          </w:p>
        </w:tc>
      </w:tr>
      <w:tr w:rsidR="00C639DF" w:rsidRPr="004F18F8" w:rsidTr="009F3AFB">
        <w:tc>
          <w:tcPr>
            <w:tcW w:w="1998" w:type="dxa"/>
            <w:tcBorders>
              <w:top w:val="single" w:sz="12" w:space="0" w:color="auto"/>
              <w:bottom w:val="single" w:sz="4" w:space="0" w:color="auto"/>
            </w:tcBorders>
          </w:tcPr>
          <w:p w:rsidR="004F18F8" w:rsidRPr="000B1892" w:rsidRDefault="002D4D13" w:rsidP="00C639DF">
            <w:pPr>
              <w:rPr>
                <w:rFonts w:ascii="Arial Narrow" w:hAnsi="Arial Narrow"/>
              </w:rPr>
            </w:pPr>
            <w:r>
              <w:rPr>
                <w:rFonts w:ascii="Arial Narrow" w:hAnsi="Arial Narrow"/>
              </w:rPr>
              <w:t>Estevan Vigil</w:t>
            </w:r>
          </w:p>
          <w:p w:rsidR="008625B8" w:rsidRPr="000B1892" w:rsidRDefault="00794E38" w:rsidP="00C639DF">
            <w:pPr>
              <w:rPr>
                <w:rFonts w:ascii="Arial Narrow" w:hAnsi="Arial Narrow"/>
              </w:rPr>
            </w:pPr>
            <w:r>
              <w:rPr>
                <w:rFonts w:ascii="Arial Narrow" w:hAnsi="Arial Narrow"/>
              </w:rPr>
              <w:t>(CO Parks &amp; Wildlife</w:t>
            </w:r>
            <w:r w:rsidR="008625B8" w:rsidRPr="000B1892">
              <w:rPr>
                <w:rFonts w:ascii="Arial Narrow" w:hAnsi="Arial Narrow"/>
              </w:rPr>
              <w:t>)</w:t>
            </w:r>
          </w:p>
        </w:tc>
        <w:tc>
          <w:tcPr>
            <w:tcW w:w="0" w:type="auto"/>
            <w:tcBorders>
              <w:top w:val="single" w:sz="12" w:space="0" w:color="auto"/>
              <w:bottom w:val="single" w:sz="4" w:space="0" w:color="auto"/>
            </w:tcBorders>
          </w:tcPr>
          <w:p w:rsidR="004F18F8" w:rsidRPr="000B1892" w:rsidRDefault="00794E38" w:rsidP="00C639DF">
            <w:pPr>
              <w:rPr>
                <w:rFonts w:ascii="Arial Narrow" w:hAnsi="Arial Narrow"/>
              </w:rPr>
            </w:pPr>
            <w:r>
              <w:rPr>
                <w:rFonts w:ascii="Arial Narrow" w:hAnsi="Arial Narrow"/>
              </w:rPr>
              <w:t>Aquatic Biologist</w:t>
            </w:r>
          </w:p>
        </w:tc>
        <w:tc>
          <w:tcPr>
            <w:tcW w:w="0" w:type="auto"/>
            <w:tcBorders>
              <w:top w:val="single" w:sz="12" w:space="0" w:color="auto"/>
              <w:bottom w:val="single" w:sz="4" w:space="0" w:color="auto"/>
            </w:tcBorders>
          </w:tcPr>
          <w:p w:rsidR="004F18F8" w:rsidRPr="000B1892" w:rsidRDefault="002D4D13" w:rsidP="00C639DF">
            <w:pPr>
              <w:rPr>
                <w:rFonts w:ascii="Arial Narrow" w:hAnsi="Arial Narrow"/>
              </w:rPr>
            </w:pPr>
            <w:r>
              <w:rPr>
                <w:rFonts w:ascii="Arial Narrow" w:hAnsi="Arial Narrow"/>
              </w:rPr>
              <w:t>Monte Vista</w:t>
            </w:r>
          </w:p>
        </w:tc>
        <w:tc>
          <w:tcPr>
            <w:tcW w:w="2803" w:type="dxa"/>
            <w:tcBorders>
              <w:top w:val="single" w:sz="12" w:space="0" w:color="auto"/>
              <w:bottom w:val="single" w:sz="4" w:space="0" w:color="auto"/>
            </w:tcBorders>
          </w:tcPr>
          <w:p w:rsidR="004F18F8" w:rsidRPr="000B1892" w:rsidRDefault="00F64F45" w:rsidP="00C639DF">
            <w:pPr>
              <w:rPr>
                <w:rFonts w:ascii="Arial Narrow" w:hAnsi="Arial Narrow"/>
              </w:rPr>
            </w:pPr>
            <w:r>
              <w:rPr>
                <w:rFonts w:ascii="Arial Narrow" w:hAnsi="Arial Narrow"/>
              </w:rPr>
              <w:t>June 2019</w:t>
            </w:r>
            <w:r w:rsidR="00012E1C">
              <w:rPr>
                <w:rFonts w:ascii="Arial Narrow" w:hAnsi="Arial Narrow"/>
              </w:rPr>
              <w:t xml:space="preserve"> – November</w:t>
            </w:r>
            <w:r w:rsidR="00794E38">
              <w:rPr>
                <w:rFonts w:ascii="Arial Narrow" w:hAnsi="Arial Narrow"/>
              </w:rPr>
              <w:t xml:space="preserve"> 201</w:t>
            </w:r>
            <w:r>
              <w:rPr>
                <w:rFonts w:ascii="Arial Narrow" w:hAnsi="Arial Narrow"/>
              </w:rPr>
              <w:t>9</w:t>
            </w:r>
          </w:p>
        </w:tc>
        <w:tc>
          <w:tcPr>
            <w:tcW w:w="6480" w:type="dxa"/>
            <w:tcBorders>
              <w:top w:val="single" w:sz="12" w:space="0" w:color="auto"/>
              <w:bottom w:val="single" w:sz="4" w:space="0" w:color="auto"/>
            </w:tcBorders>
          </w:tcPr>
          <w:p w:rsidR="004F18F8" w:rsidRPr="002D4D13" w:rsidRDefault="002D4D13" w:rsidP="002D4D13">
            <w:pPr>
              <w:rPr>
                <w:rFonts w:ascii="Arial Narrow" w:hAnsi="Arial Narrow"/>
              </w:rPr>
            </w:pPr>
            <w:r>
              <w:rPr>
                <w:rFonts w:ascii="Arial Narrow" w:hAnsi="Arial Narrow" w:cs="Arial"/>
                <w:color w:val="222222"/>
                <w:shd w:val="clear" w:color="auto" w:fill="FFFFFF"/>
              </w:rPr>
              <w:t>S</w:t>
            </w:r>
            <w:r w:rsidRPr="002D4D13">
              <w:rPr>
                <w:rFonts w:ascii="Arial Narrow" w:hAnsi="Arial Narrow" w:cs="Arial"/>
                <w:color w:val="222222"/>
                <w:shd w:val="clear" w:color="auto" w:fill="FFFFFF"/>
              </w:rPr>
              <w:t xml:space="preserve">tandard population surveys </w:t>
            </w:r>
            <w:r>
              <w:rPr>
                <w:rFonts w:ascii="Arial Narrow" w:hAnsi="Arial Narrow" w:cs="Arial"/>
                <w:color w:val="222222"/>
                <w:shd w:val="clear" w:color="auto" w:fill="FFFFFF"/>
              </w:rPr>
              <w:t xml:space="preserve">using backpack electrofishing, </w:t>
            </w:r>
            <w:r w:rsidRPr="002D4D13">
              <w:rPr>
                <w:rFonts w:ascii="Arial Narrow" w:hAnsi="Arial Narrow" w:cs="Arial"/>
                <w:color w:val="222222"/>
                <w:shd w:val="clear" w:color="auto" w:fill="FFFFFF"/>
              </w:rPr>
              <w:t>mechanical removal of brook trout in a native cutthroat stream</w:t>
            </w:r>
            <w:r w:rsidR="00303AA8">
              <w:rPr>
                <w:rFonts w:ascii="Arial Narrow" w:hAnsi="Arial Narrow" w:cs="Arial"/>
                <w:color w:val="222222"/>
                <w:shd w:val="clear" w:color="auto" w:fill="FFFFFF"/>
              </w:rPr>
              <w:t>s</w:t>
            </w:r>
            <w:r w:rsidRPr="002D4D13">
              <w:rPr>
                <w:rFonts w:ascii="Arial Narrow" w:hAnsi="Arial Narrow" w:cs="Arial"/>
                <w:color w:val="222222"/>
                <w:shd w:val="clear" w:color="auto" w:fill="FFFFFF"/>
              </w:rPr>
              <w:t>, and reconnaissance for a rotenone project next year.</w:t>
            </w:r>
          </w:p>
        </w:tc>
      </w:tr>
      <w:tr w:rsidR="00F64F45" w:rsidRPr="004F18F8" w:rsidTr="00FC1B4D">
        <w:tc>
          <w:tcPr>
            <w:tcW w:w="1998"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 xml:space="preserve">Bill </w:t>
            </w:r>
            <w:proofErr w:type="spellStart"/>
            <w:r>
              <w:rPr>
                <w:rFonts w:ascii="Arial Narrow" w:hAnsi="Arial Narrow"/>
              </w:rPr>
              <w:t>Janowsky</w:t>
            </w:r>
            <w:proofErr w:type="spellEnd"/>
          </w:p>
          <w:p w:rsidR="00F64F45" w:rsidRPr="000B1892" w:rsidRDefault="00F64F45" w:rsidP="00F64F45">
            <w:pPr>
              <w:rPr>
                <w:rFonts w:ascii="Arial Narrow" w:hAnsi="Arial Narrow"/>
              </w:rPr>
            </w:pPr>
            <w:r>
              <w:rPr>
                <w:rFonts w:ascii="Arial Narrow" w:hAnsi="Arial Narrow"/>
              </w:rPr>
              <w:t>(U.S. Forest Service</w:t>
            </w:r>
            <w:r w:rsidRPr="000B1892">
              <w:rPr>
                <w:rFonts w:ascii="Arial Narrow" w:hAnsi="Arial Narrow"/>
              </w:rPr>
              <w: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Fisheries Program Leader</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Golden</w:t>
            </w:r>
          </w:p>
        </w:tc>
        <w:tc>
          <w:tcPr>
            <w:tcW w:w="2803"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April 2019 – December 2019</w:t>
            </w:r>
          </w:p>
        </w:tc>
        <w:tc>
          <w:tcPr>
            <w:tcW w:w="6480"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 xml:space="preserve">Career advice from a fishery professional with &gt;25 </w:t>
            </w:r>
            <w:proofErr w:type="spellStart"/>
            <w:r>
              <w:rPr>
                <w:rFonts w:ascii="Arial Narrow" w:hAnsi="Arial Narrow"/>
              </w:rPr>
              <w:t>years experience</w:t>
            </w:r>
            <w:proofErr w:type="spellEnd"/>
            <w:r>
              <w:rPr>
                <w:rFonts w:ascii="Arial Narrow" w:hAnsi="Arial Narrow"/>
              </w:rPr>
              <w:t xml:space="preserve"> in the federal system.  Field projects could include installation of fish passage structures, chemical treatments, and backpack electrofishing.</w:t>
            </w:r>
          </w:p>
        </w:tc>
      </w:tr>
      <w:tr w:rsidR="00F64F45" w:rsidRPr="004F18F8" w:rsidTr="00FC1B4D">
        <w:tc>
          <w:tcPr>
            <w:tcW w:w="1998" w:type="dxa"/>
            <w:tcBorders>
              <w:top w:val="single" w:sz="4" w:space="0" w:color="auto"/>
              <w:bottom w:val="single" w:sz="4" w:space="0" w:color="auto"/>
            </w:tcBorders>
          </w:tcPr>
          <w:p w:rsidR="00F64F45" w:rsidRDefault="00F64F45" w:rsidP="00F64F45">
            <w:pPr>
              <w:rPr>
                <w:rFonts w:ascii="Arial Narrow" w:hAnsi="Arial Narrow"/>
              </w:rPr>
            </w:pPr>
            <w:r>
              <w:rPr>
                <w:rFonts w:ascii="Arial Narrow" w:hAnsi="Arial Narrow"/>
              </w:rPr>
              <w:t>Andrew Treble</w:t>
            </w:r>
          </w:p>
          <w:p w:rsidR="00F64F45" w:rsidRDefault="00F64F45" w:rsidP="00F64F45">
            <w:pPr>
              <w:rPr>
                <w:rFonts w:ascii="Arial Narrow" w:hAnsi="Arial Narrow"/>
              </w:rPr>
            </w:pPr>
            <w:r>
              <w:rPr>
                <w:rFonts w:ascii="Arial Narrow" w:hAnsi="Arial Narrow"/>
              </w:rPr>
              <w:t>(CO Parks &amp; Wildlife)</w:t>
            </w:r>
          </w:p>
        </w:tc>
        <w:tc>
          <w:tcPr>
            <w:tcW w:w="0" w:type="auto"/>
            <w:tcBorders>
              <w:top w:val="single" w:sz="4" w:space="0" w:color="auto"/>
              <w:bottom w:val="single" w:sz="4" w:space="0" w:color="auto"/>
            </w:tcBorders>
          </w:tcPr>
          <w:p w:rsidR="00F64F45" w:rsidRDefault="00F64F45" w:rsidP="00F64F45">
            <w:pPr>
              <w:rPr>
                <w:rFonts w:ascii="Arial Narrow" w:hAnsi="Arial Narrow"/>
              </w:rPr>
            </w:pPr>
            <w:r>
              <w:rPr>
                <w:rFonts w:ascii="Arial Narrow" w:hAnsi="Arial Narrow"/>
              </w:rPr>
              <w:t>Aquatic Research Data Analyst</w:t>
            </w:r>
          </w:p>
        </w:tc>
        <w:tc>
          <w:tcPr>
            <w:tcW w:w="0" w:type="auto"/>
            <w:tcBorders>
              <w:top w:val="single" w:sz="4" w:space="0" w:color="auto"/>
              <w:bottom w:val="single" w:sz="4" w:space="0" w:color="auto"/>
            </w:tcBorders>
          </w:tcPr>
          <w:p w:rsidR="00F64F45" w:rsidRDefault="00F64F45" w:rsidP="00F64F45">
            <w:pPr>
              <w:rPr>
                <w:rFonts w:ascii="Arial Narrow" w:hAnsi="Arial Narrow"/>
              </w:rPr>
            </w:pPr>
            <w:r>
              <w:rPr>
                <w:rFonts w:ascii="Arial Narrow" w:hAnsi="Arial Narrow"/>
              </w:rPr>
              <w:t>Fort Collins</w:t>
            </w:r>
          </w:p>
        </w:tc>
        <w:tc>
          <w:tcPr>
            <w:tcW w:w="2803" w:type="dxa"/>
            <w:tcBorders>
              <w:top w:val="single" w:sz="4" w:space="0" w:color="auto"/>
              <w:bottom w:val="single" w:sz="4" w:space="0" w:color="auto"/>
            </w:tcBorders>
          </w:tcPr>
          <w:p w:rsidR="00F64F45" w:rsidRDefault="00F64F45" w:rsidP="00F64F45">
            <w:pPr>
              <w:rPr>
                <w:rFonts w:ascii="Arial Narrow" w:hAnsi="Arial Narrow"/>
              </w:rPr>
            </w:pPr>
            <w:r>
              <w:rPr>
                <w:rFonts w:ascii="Arial Narrow" w:hAnsi="Arial Narrow"/>
              </w:rPr>
              <w:t>May 2019 – December 2019</w:t>
            </w:r>
          </w:p>
        </w:tc>
        <w:tc>
          <w:tcPr>
            <w:tcW w:w="6480" w:type="dxa"/>
            <w:tcBorders>
              <w:top w:val="single" w:sz="4" w:space="0" w:color="auto"/>
              <w:bottom w:val="single" w:sz="4" w:space="0" w:color="auto"/>
            </w:tcBorders>
          </w:tcPr>
          <w:p w:rsidR="00F64F45" w:rsidRPr="00C117F7" w:rsidRDefault="00F64F45" w:rsidP="00F64F45">
            <w:pPr>
              <w:rPr>
                <w:rFonts w:ascii="Arial Narrow" w:hAnsi="Arial Narrow"/>
              </w:rPr>
            </w:pPr>
            <w:r>
              <w:rPr>
                <w:rFonts w:ascii="Arial Narrow" w:hAnsi="Arial Narrow"/>
              </w:rPr>
              <w:t xml:space="preserve">Provide opportunities for fisheries data analysis, database design, data manipulation on multiple platforms, which include Access, SQL Server, ArcGIS, and Tableau.  Field opportunities could include </w:t>
            </w:r>
            <w:proofErr w:type="spellStart"/>
            <w:r>
              <w:rPr>
                <w:rFonts w:ascii="Arial Narrow" w:hAnsi="Arial Narrow"/>
              </w:rPr>
              <w:t>hydroacoustic</w:t>
            </w:r>
            <w:proofErr w:type="spellEnd"/>
            <w:r>
              <w:rPr>
                <w:rFonts w:ascii="Arial Narrow" w:hAnsi="Arial Narrow"/>
              </w:rPr>
              <w:t xml:space="preserve"> surveys and other fisheries field work.</w:t>
            </w:r>
          </w:p>
        </w:tc>
      </w:tr>
      <w:tr w:rsidR="00F64F45" w:rsidRPr="004F18F8" w:rsidTr="00FC1B4D">
        <w:tc>
          <w:tcPr>
            <w:tcW w:w="1998"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Rick Henderson</w:t>
            </w:r>
          </w:p>
          <w:p w:rsidR="00F64F45" w:rsidRPr="000B1892" w:rsidRDefault="00F64F45" w:rsidP="00F64F45">
            <w:pPr>
              <w:rPr>
                <w:rFonts w:ascii="Arial Narrow" w:hAnsi="Arial Narrow"/>
              </w:rPr>
            </w:pPr>
            <w:r>
              <w:rPr>
                <w:rFonts w:ascii="Arial Narrow" w:hAnsi="Arial Narrow"/>
              </w:rPr>
              <w:t>(U.S. Forest Service</w:t>
            </w:r>
            <w:r w:rsidRPr="000B1892">
              <w:rPr>
                <w:rFonts w:ascii="Arial Narrow" w:hAnsi="Arial Narrow"/>
              </w:rPr>
              <w: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Fisheries Biologist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Steamboat Springs</w:t>
            </w:r>
          </w:p>
        </w:tc>
        <w:tc>
          <w:tcPr>
            <w:tcW w:w="2803"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May</w:t>
            </w:r>
            <w:r>
              <w:rPr>
                <w:rFonts w:ascii="Arial Narrow" w:hAnsi="Arial Narrow"/>
              </w:rPr>
              <w:t xml:space="preserve"> 2019</w:t>
            </w:r>
            <w:r>
              <w:rPr>
                <w:rFonts w:ascii="Arial Narrow" w:hAnsi="Arial Narrow"/>
              </w:rPr>
              <w:t xml:space="preserve"> – </w:t>
            </w:r>
            <w:r>
              <w:rPr>
                <w:rFonts w:ascii="Arial Narrow" w:hAnsi="Arial Narrow"/>
              </w:rPr>
              <w:t>December 2019</w:t>
            </w:r>
          </w:p>
        </w:tc>
        <w:tc>
          <w:tcPr>
            <w:tcW w:w="6480"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 xml:space="preserve">Opportunity could include </w:t>
            </w:r>
            <w:r w:rsidRPr="00C117F7">
              <w:rPr>
                <w:rFonts w:ascii="Arial Narrow" w:hAnsi="Arial Narrow"/>
              </w:rPr>
              <w:t xml:space="preserve">surveying fish populations in rivers, streams, reservoirs, and ponds </w:t>
            </w:r>
            <w:r>
              <w:rPr>
                <w:rFonts w:ascii="Arial Narrow" w:hAnsi="Arial Narrow"/>
              </w:rPr>
              <w:t xml:space="preserve">by using </w:t>
            </w:r>
            <w:r w:rsidRPr="00C117F7">
              <w:rPr>
                <w:rFonts w:ascii="Arial Narrow" w:hAnsi="Arial Narrow"/>
              </w:rPr>
              <w:t xml:space="preserve">electrofishing, gill nets, </w:t>
            </w:r>
            <w:proofErr w:type="spellStart"/>
            <w:r w:rsidRPr="00C117F7">
              <w:rPr>
                <w:rFonts w:ascii="Arial Narrow" w:hAnsi="Arial Narrow"/>
              </w:rPr>
              <w:t>fyke</w:t>
            </w:r>
            <w:proofErr w:type="spellEnd"/>
            <w:r>
              <w:rPr>
                <w:rFonts w:ascii="Arial Narrow" w:hAnsi="Arial Narrow"/>
              </w:rPr>
              <w:t xml:space="preserve"> nets</w:t>
            </w:r>
            <w:r w:rsidRPr="00C117F7">
              <w:rPr>
                <w:rFonts w:ascii="Arial Narrow" w:hAnsi="Arial Narrow"/>
              </w:rPr>
              <w:t>, and seines</w:t>
            </w:r>
            <w:r>
              <w:rPr>
                <w:rFonts w:ascii="Arial Narrow" w:hAnsi="Arial Narrow"/>
              </w:rPr>
              <w:t xml:space="preserve">. Other field projects could include installation of fish passage structures and chemical treatments. </w:t>
            </w:r>
            <w:r w:rsidRPr="000B1892">
              <w:rPr>
                <w:rFonts w:ascii="Arial Narrow" w:hAnsi="Arial Narrow"/>
              </w:rPr>
              <w:t xml:space="preserve"> Provide career guidance on how to prepare for a career in fishery science.</w:t>
            </w:r>
          </w:p>
        </w:tc>
      </w:tr>
      <w:tr w:rsidR="00F64F45" w:rsidRPr="004F18F8" w:rsidTr="00FC1B4D">
        <w:tc>
          <w:tcPr>
            <w:tcW w:w="1998"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 xml:space="preserve">Jon </w:t>
            </w:r>
            <w:proofErr w:type="spellStart"/>
            <w:r>
              <w:rPr>
                <w:rFonts w:ascii="Arial Narrow" w:hAnsi="Arial Narrow"/>
              </w:rPr>
              <w:t>Ewert</w:t>
            </w:r>
            <w:proofErr w:type="spellEnd"/>
          </w:p>
          <w:p w:rsidR="00F64F45" w:rsidRPr="000B1892" w:rsidRDefault="00F64F45" w:rsidP="00F64F45">
            <w:pPr>
              <w:rPr>
                <w:rFonts w:ascii="Arial Narrow" w:hAnsi="Arial Narrow"/>
              </w:rPr>
            </w:pPr>
            <w:r>
              <w:rPr>
                <w:rFonts w:ascii="Arial Narrow" w:hAnsi="Arial Narrow"/>
              </w:rPr>
              <w:t>(CO Parks &amp; Wildlife</w:t>
            </w:r>
            <w:r w:rsidRPr="000B1892">
              <w:rPr>
                <w:rFonts w:ascii="Arial Narrow" w:hAnsi="Arial Narrow"/>
              </w:rPr>
              <w: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Aquatic Biologist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Hot Sulphur Springs</w:t>
            </w:r>
          </w:p>
        </w:tc>
        <w:tc>
          <w:tcPr>
            <w:tcW w:w="2803"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May 2019 – November 2019</w:t>
            </w:r>
          </w:p>
        </w:tc>
        <w:tc>
          <w:tcPr>
            <w:tcW w:w="6480"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Work with CPW biologists on fisheries and amphibian sampling efforts and management. Work could include amphibian inventory, stream sampling using backpack, bank, and boat electrofishing, lake work using gill nets and boat electrofishing. Data entry and analysis. Increase knowledge of fisheries management and role of fish culture in fisheries management.</w:t>
            </w:r>
          </w:p>
        </w:tc>
      </w:tr>
      <w:tr w:rsidR="00F64F45" w:rsidRPr="004F18F8" w:rsidTr="00FC1B4D">
        <w:tc>
          <w:tcPr>
            <w:tcW w:w="1998"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Lori Martin</w:t>
            </w:r>
          </w:p>
          <w:p w:rsidR="00F64F45" w:rsidRPr="000B1892" w:rsidRDefault="00F64F45" w:rsidP="00F64F45">
            <w:pPr>
              <w:rPr>
                <w:rFonts w:ascii="Arial Narrow" w:hAnsi="Arial Narrow"/>
              </w:rPr>
            </w:pPr>
            <w:r>
              <w:rPr>
                <w:rFonts w:ascii="Arial Narrow" w:hAnsi="Arial Narrow"/>
              </w:rPr>
              <w:t>(CO Parks &amp; Wildlife</w:t>
            </w:r>
            <w:r w:rsidRPr="000B1892">
              <w:rPr>
                <w:rFonts w:ascii="Arial Narrow" w:hAnsi="Arial Narrow"/>
              </w:rPr>
              <w: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 xml:space="preserve">Senior </w:t>
            </w:r>
            <w:r>
              <w:rPr>
                <w:rFonts w:ascii="Arial Narrow" w:hAnsi="Arial Narrow"/>
              </w:rPr>
              <w:t>Aquatic</w:t>
            </w:r>
            <w:r w:rsidRPr="000B1892">
              <w:rPr>
                <w:rFonts w:ascii="Arial Narrow" w:hAnsi="Arial Narrow"/>
              </w:rPr>
              <w:t xml:space="preserve"> Biologist</w:t>
            </w:r>
          </w:p>
        </w:tc>
        <w:tc>
          <w:tcPr>
            <w:tcW w:w="0" w:type="auto"/>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Grand Junction</w:t>
            </w:r>
          </w:p>
        </w:tc>
        <w:tc>
          <w:tcPr>
            <w:tcW w:w="2803"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May</w:t>
            </w:r>
            <w:r>
              <w:rPr>
                <w:rFonts w:ascii="Arial Narrow" w:hAnsi="Arial Narrow"/>
              </w:rPr>
              <w:t xml:space="preserve"> 2019</w:t>
            </w:r>
            <w:r>
              <w:rPr>
                <w:rFonts w:ascii="Arial Narrow" w:hAnsi="Arial Narrow"/>
              </w:rPr>
              <w:t xml:space="preserve"> – November 201</w:t>
            </w:r>
            <w:r>
              <w:rPr>
                <w:rFonts w:ascii="Arial Narrow" w:hAnsi="Arial Narrow"/>
              </w:rPr>
              <w:t>9</w:t>
            </w:r>
            <w:bookmarkStart w:id="0" w:name="_GoBack"/>
            <w:bookmarkEnd w:id="0"/>
          </w:p>
        </w:tc>
        <w:tc>
          <w:tcPr>
            <w:tcW w:w="6480" w:type="dxa"/>
            <w:tcBorders>
              <w:top w:val="single" w:sz="4" w:space="0" w:color="auto"/>
              <w:bottom w:val="single" w:sz="4" w:space="0" w:color="auto"/>
            </w:tcBorders>
          </w:tcPr>
          <w:p w:rsidR="00F64F45" w:rsidRPr="000B1892" w:rsidRDefault="00F64F45" w:rsidP="00F64F45">
            <w:pPr>
              <w:rPr>
                <w:rFonts w:ascii="Arial Narrow" w:hAnsi="Arial Narrow"/>
              </w:rPr>
            </w:pPr>
            <w:r>
              <w:rPr>
                <w:rFonts w:ascii="Arial Narrow" w:hAnsi="Arial Narrow"/>
              </w:rPr>
              <w:t>Opportunity could include</w:t>
            </w:r>
            <w:r w:rsidRPr="00C117F7">
              <w:rPr>
                <w:rFonts w:ascii="Arial Narrow" w:hAnsi="Arial Narrow"/>
              </w:rPr>
              <w:t xml:space="preserve"> non-native fish control operations; surveying fish populations in rivers, streams, reservoirs, and ponds in NW</w:t>
            </w:r>
            <w:r>
              <w:t xml:space="preserve"> </w:t>
            </w:r>
            <w:r>
              <w:rPr>
                <w:rFonts w:ascii="Arial Narrow" w:hAnsi="Arial Narrow"/>
              </w:rPr>
              <w:t>CO</w:t>
            </w:r>
            <w:r w:rsidRPr="00C117F7">
              <w:rPr>
                <w:rFonts w:ascii="Arial Narrow" w:hAnsi="Arial Narrow"/>
              </w:rPr>
              <w:t xml:space="preserve"> by using electrofishing, gill nets, </w:t>
            </w:r>
            <w:proofErr w:type="spellStart"/>
            <w:r w:rsidRPr="00C117F7">
              <w:rPr>
                <w:rFonts w:ascii="Arial Narrow" w:hAnsi="Arial Narrow"/>
              </w:rPr>
              <w:t>fyke</w:t>
            </w:r>
            <w:proofErr w:type="spellEnd"/>
            <w:r w:rsidRPr="00C117F7">
              <w:rPr>
                <w:rFonts w:ascii="Arial Narrow" w:hAnsi="Arial Narrow"/>
              </w:rPr>
              <w:t xml:space="preserve"> nets, trammel nets, and seines; inventorying cutthroat trout populations; collecting,</w:t>
            </w:r>
            <w:r>
              <w:t xml:space="preserve"> </w:t>
            </w:r>
            <w:r w:rsidRPr="00C117F7">
              <w:rPr>
                <w:rFonts w:ascii="Arial Narrow" w:hAnsi="Arial Narrow"/>
              </w:rPr>
              <w:t xml:space="preserve">preserving, labeling, and shipping fish for disease testing, genetic analyses, and stable isotope studies; and data entry.  </w:t>
            </w:r>
          </w:p>
        </w:tc>
      </w:tr>
      <w:tr w:rsidR="00F64F45" w:rsidRPr="004F18F8" w:rsidTr="00FC1B4D">
        <w:tc>
          <w:tcPr>
            <w:tcW w:w="1998" w:type="dxa"/>
            <w:tcBorders>
              <w:top w:val="single" w:sz="4" w:space="0" w:color="auto"/>
              <w:bottom w:val="single" w:sz="12" w:space="0" w:color="auto"/>
            </w:tcBorders>
          </w:tcPr>
          <w:p w:rsidR="00F64F45" w:rsidRPr="000B1892" w:rsidRDefault="00F64F45" w:rsidP="00F64F45">
            <w:pPr>
              <w:rPr>
                <w:rFonts w:ascii="Arial Narrow" w:hAnsi="Arial Narrow"/>
              </w:rPr>
            </w:pPr>
          </w:p>
        </w:tc>
        <w:tc>
          <w:tcPr>
            <w:tcW w:w="0" w:type="auto"/>
            <w:tcBorders>
              <w:top w:val="single" w:sz="4" w:space="0" w:color="auto"/>
              <w:bottom w:val="single" w:sz="12" w:space="0" w:color="auto"/>
            </w:tcBorders>
          </w:tcPr>
          <w:p w:rsidR="00F64F45" w:rsidRPr="000B1892" w:rsidRDefault="00F64F45" w:rsidP="00F64F45">
            <w:pPr>
              <w:rPr>
                <w:rFonts w:ascii="Arial Narrow" w:hAnsi="Arial Narrow"/>
              </w:rPr>
            </w:pPr>
          </w:p>
        </w:tc>
        <w:tc>
          <w:tcPr>
            <w:tcW w:w="0" w:type="auto"/>
            <w:tcBorders>
              <w:top w:val="single" w:sz="4" w:space="0" w:color="auto"/>
              <w:bottom w:val="single" w:sz="12" w:space="0" w:color="auto"/>
            </w:tcBorders>
          </w:tcPr>
          <w:p w:rsidR="00F64F45" w:rsidRPr="000B1892" w:rsidRDefault="00F64F45" w:rsidP="00F64F45">
            <w:pPr>
              <w:rPr>
                <w:rFonts w:ascii="Arial Narrow" w:hAnsi="Arial Narrow"/>
              </w:rPr>
            </w:pPr>
          </w:p>
        </w:tc>
        <w:tc>
          <w:tcPr>
            <w:tcW w:w="2803" w:type="dxa"/>
            <w:tcBorders>
              <w:top w:val="single" w:sz="4" w:space="0" w:color="auto"/>
              <w:bottom w:val="single" w:sz="12" w:space="0" w:color="auto"/>
            </w:tcBorders>
          </w:tcPr>
          <w:p w:rsidR="00F64F45" w:rsidRPr="000B1892" w:rsidRDefault="00F64F45" w:rsidP="00F64F45">
            <w:pPr>
              <w:rPr>
                <w:rFonts w:ascii="Arial Narrow" w:hAnsi="Arial Narrow"/>
              </w:rPr>
            </w:pPr>
          </w:p>
        </w:tc>
        <w:tc>
          <w:tcPr>
            <w:tcW w:w="6480" w:type="dxa"/>
            <w:tcBorders>
              <w:top w:val="single" w:sz="4" w:space="0" w:color="auto"/>
              <w:bottom w:val="single" w:sz="12" w:space="0" w:color="auto"/>
            </w:tcBorders>
          </w:tcPr>
          <w:p w:rsidR="00F64F45" w:rsidRPr="000B1892" w:rsidRDefault="00F64F45" w:rsidP="00F64F45">
            <w:pPr>
              <w:rPr>
                <w:rFonts w:ascii="Arial Narrow" w:hAnsi="Arial Narrow"/>
              </w:rPr>
            </w:pPr>
          </w:p>
        </w:tc>
      </w:tr>
    </w:tbl>
    <w:p w:rsidR="007B417D" w:rsidRPr="00C639DF" w:rsidRDefault="00F64F45">
      <w:pPr>
        <w:rPr>
          <w:rFonts w:ascii="Arial Narrow" w:hAnsi="Arial Narrow"/>
          <w:b/>
          <w:sz w:val="32"/>
          <w:szCs w:val="32"/>
        </w:rPr>
      </w:pPr>
      <w:r>
        <w:rPr>
          <w:rFonts w:ascii="Arial Narrow" w:hAnsi="Arial Narrow"/>
          <w:b/>
          <w:sz w:val="32"/>
          <w:szCs w:val="32"/>
        </w:rPr>
        <w:t>2019</w:t>
      </w:r>
      <w:r w:rsidR="00794E38">
        <w:rPr>
          <w:rFonts w:ascii="Arial Narrow" w:hAnsi="Arial Narrow"/>
          <w:b/>
          <w:sz w:val="32"/>
          <w:szCs w:val="32"/>
        </w:rPr>
        <w:t xml:space="preserve"> Colorado</w:t>
      </w:r>
      <w:r w:rsidR="00C639DF" w:rsidRPr="00C639DF">
        <w:rPr>
          <w:rFonts w:ascii="Arial Narrow" w:hAnsi="Arial Narrow"/>
          <w:b/>
          <w:sz w:val="32"/>
          <w:szCs w:val="32"/>
        </w:rPr>
        <w:t xml:space="preserve"> Opportunities – Colorado/Wyoming AFS Chapter Mentor Program </w:t>
      </w:r>
    </w:p>
    <w:sectPr w:rsidR="007B417D" w:rsidRPr="00C639DF" w:rsidSect="004F18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F18F8"/>
    <w:rsid w:val="00012E1C"/>
    <w:rsid w:val="000B1892"/>
    <w:rsid w:val="00154DDE"/>
    <w:rsid w:val="001E6E1D"/>
    <w:rsid w:val="001F06C3"/>
    <w:rsid w:val="002A77D5"/>
    <w:rsid w:val="002D4D13"/>
    <w:rsid w:val="003026EB"/>
    <w:rsid w:val="00303AA8"/>
    <w:rsid w:val="00374AD6"/>
    <w:rsid w:val="00391D24"/>
    <w:rsid w:val="003967A6"/>
    <w:rsid w:val="004055D8"/>
    <w:rsid w:val="0048313A"/>
    <w:rsid w:val="004F18F8"/>
    <w:rsid w:val="00560596"/>
    <w:rsid w:val="00570ACD"/>
    <w:rsid w:val="005A6BE4"/>
    <w:rsid w:val="005E30BC"/>
    <w:rsid w:val="0060791D"/>
    <w:rsid w:val="00794E38"/>
    <w:rsid w:val="007A702B"/>
    <w:rsid w:val="007B417D"/>
    <w:rsid w:val="007D6751"/>
    <w:rsid w:val="007E20E5"/>
    <w:rsid w:val="008625B8"/>
    <w:rsid w:val="00894E3A"/>
    <w:rsid w:val="008E3DBB"/>
    <w:rsid w:val="00926B9F"/>
    <w:rsid w:val="009447D5"/>
    <w:rsid w:val="009F3AFB"/>
    <w:rsid w:val="00A14AB9"/>
    <w:rsid w:val="00A31D4A"/>
    <w:rsid w:val="00A809C3"/>
    <w:rsid w:val="00A95E18"/>
    <w:rsid w:val="00AA127A"/>
    <w:rsid w:val="00B70E52"/>
    <w:rsid w:val="00C117F7"/>
    <w:rsid w:val="00C639DF"/>
    <w:rsid w:val="00D46458"/>
    <w:rsid w:val="00DB1FDD"/>
    <w:rsid w:val="00E34969"/>
    <w:rsid w:val="00E84354"/>
    <w:rsid w:val="00F31CCA"/>
    <w:rsid w:val="00F64F45"/>
    <w:rsid w:val="00FC1B4D"/>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3B38"/>
  <w15:docId w15:val="{65867250-7A47-44EA-AE00-FCC8D898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Burton Gale</dc:creator>
  <cp:lastModifiedBy>Administrator</cp:lastModifiedBy>
  <cp:revision>6</cp:revision>
  <dcterms:created xsi:type="dcterms:W3CDTF">2018-04-03T16:46:00Z</dcterms:created>
  <dcterms:modified xsi:type="dcterms:W3CDTF">2019-02-13T23:46:00Z</dcterms:modified>
</cp:coreProperties>
</file>